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ANEXO </w:t>
      </w:r>
      <w:proofErr w:type="spellStart"/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II</w:t>
      </w:r>
      <w:proofErr w:type="spellEnd"/>
    </w:p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CRITÉRIOS UTILIZADOS NA AVALIAÇÃO DE MÉRITO CULTURAL</w:t>
      </w:r>
    </w:p>
    <w:p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5417"/>
        <w:gridCol w:w="1433"/>
      </w:tblGrid>
      <w:tr w:rsidR="008B5A30" w:rsidRPr="008B5A30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obtidos.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2F6AD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</w:t>
            </w:r>
            <w:proofErr w:type="gram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cultural do </w:t>
            </w:r>
            <w:r w:rsidR="008C5BB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Município de Professor Jamil</w:t>
            </w:r>
            <w:r w:rsidR="002F6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</w:t>
            </w:r>
            <w:r w:rsidR="00FC51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- GO 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contribui para o enriquecimento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valorização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da cultura d</w:t>
            </w:r>
            <w:r w:rsidR="008C5B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 Município de Professor  Jamil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- GO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integração</w:t>
            </w:r>
            <w:proofErr w:type="spellEnd"/>
            <w:r w:rsidR="00FC51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na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</w:t>
            </w:r>
            <w:proofErr w:type="gram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integração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, idosos e demais grupos em situação de histórica vulnerabilidade econômica/social.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execução</w:t>
            </w:r>
            <w:proofErr w:type="spellEnd"/>
            <w:r w:rsidR="00FC51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 projeto.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considerar a carreira 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relação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).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́ considerado para fins de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enviadas juntamente com a proposta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Será </w:t>
            </w:r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avaliado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80</w:t>
            </w:r>
          </w:p>
        </w:tc>
      </w:tr>
    </w:tbl>
    <w:p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Além da pontuação acima, o proponente pode receber bônus de pontuação, ou seja, uma pontuação extra, conforme critérios abaixo especificados: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4176"/>
        <w:gridCol w:w="2014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BÔNUS PARA PROPONENTES PESSOAS FÍSICAS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Proponentes 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negros,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indígenas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ou </w:t>
            </w:r>
            <w:proofErr w:type="gramStart"/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quilombolas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FC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 residente em regiões de menor </w:t>
            </w:r>
            <w:proofErr w:type="spell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IDH</w:t>
            </w:r>
            <w:proofErr w:type="spellEnd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 xml:space="preserve">PONTUAÇÃO </w:t>
            </w:r>
            <w:proofErr w:type="gramStart"/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EXTRA TOTAL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CB3149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B3149">
              <w:rPr>
                <w:rFonts w:ascii="Arial" w:eastAsia="Times New Roman" w:hAnsi="Arial" w:cs="Arial"/>
                <w:kern w:val="0"/>
                <w:lang w:eastAsia="pt-BR"/>
              </w:rPr>
              <w:t>20 PONTOS</w:t>
            </w:r>
          </w:p>
        </w:tc>
      </w:tr>
    </w:tbl>
    <w:p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 xml:space="preserve">PONTUAÇÃO EXTRA PARA </w:t>
            </w:r>
            <w:proofErr w:type="gramStart"/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PROPONENTES PESSOAS JURÍDICAS E COLETIVOS</w:t>
            </w:r>
            <w:proofErr w:type="gramEnd"/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 xml:space="preserve"> OU GRUPOS CULTURAIS SEM CNPJ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</w:t>
            </w: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grupos compostos majoritariamente por pessoas negras ou indígenas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Pessoas jurídicas sediadas em regiões de menor </w:t>
            </w:r>
            <w:proofErr w:type="spell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IDH</w:t>
            </w:r>
            <w:proofErr w:type="spellEnd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ou coletivos/</w:t>
            </w: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grupos pertencentes a regiões de menor </w:t>
            </w:r>
            <w:proofErr w:type="spell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IDH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Pessoas jurídicas ou coletivos/grupos com notória atuação em temáticas relacionadas </w:t>
            </w: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a</w:t>
            </w:r>
            <w:proofErr w:type="gramEnd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: pessoas negras, indígenas, pessoas com deficiência, mulheres, </w:t>
            </w:r>
            <w:proofErr w:type="spell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LGBTQIAP</w:t>
            </w:r>
            <w:proofErr w:type="spellEnd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 xml:space="preserve">PONTUAÇÃO </w:t>
            </w:r>
            <w:proofErr w:type="gramStart"/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EXTRA TOTAL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FC51A2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C51A2">
              <w:rPr>
                <w:rFonts w:ascii="Arial" w:eastAsia="Times New Roman" w:hAnsi="Arial" w:cs="Arial"/>
                <w:kern w:val="0"/>
                <w:lang w:eastAsia="pt-BR"/>
              </w:rPr>
              <w:t>20 PONTOS</w:t>
            </w:r>
          </w:p>
        </w:tc>
      </w:tr>
    </w:tbl>
    <w:p w:rsidR="008B5A30" w:rsidRP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A pontuação final de cada candidatura será </w:t>
      </w:r>
      <w:r w:rsidR="00B76B1D"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por média de notas.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Os critérios gerais são eliminatórios, de modo que, o agente cultural que receber pontuação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em algum dos critérios será desclassificado do Edital.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Os bônus de pontuação são cumulativos e não constituem critérios obrigatórios, de modo que a pontuação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em algum dos pontos bônus não desclassifica o proponente.</w:t>
      </w:r>
    </w:p>
    <w:p w:rsid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Em caso de empate, </w:t>
      </w:r>
      <w:proofErr w:type="spellStart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</w:t>
      </w:r>
      <w:proofErr w:type="spellEnd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utilizados para fins de </w:t>
      </w:r>
      <w:proofErr w:type="spellStart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classificação</w:t>
      </w:r>
      <w:proofErr w:type="spellEnd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dos projetos a maior nota nos critérios de acordo com a ordem abaixo definida: A, B, C, D, E, F, G,</w:t>
      </w:r>
      <w:r w:rsid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H respectivamente. </w:t>
      </w:r>
      <w:proofErr w:type="gramStart"/>
      <w:r w:rsidR="00B76B1D"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spellStart"/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considerados aptos os projetos que receberem nota final igual ou superior a 50 pontos.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I - receberam nota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em qualquer dos critérios obrigatórios; 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II - apresentem quaisquer formas de preconceito de origem, raça, etnia, gênero, cor, idade ou outras formas de discriminação serão 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lastRenderedPageBreak/>
        <w:t>desclassificadas, com fundamento no disposto no </w:t>
      </w:r>
      <w:hyperlink r:id="rId9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 xml:space="preserve">inciso </w:t>
        </w:r>
        <w:proofErr w:type="spellStart"/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IV</w:t>
        </w:r>
        <w:proofErr w:type="spellEnd"/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 xml:space="preserve"> do caput do art. 3º da </w:t>
        </w:r>
        <w:proofErr w:type="gramStart"/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Constituição,</w:t>
        </w:r>
        <w:proofErr w:type="gramEnd"/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8B5A30" w:rsidRPr="007B3FDB" w:rsidSect="00D96A8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2C59" w:rsidRDefault="00B62C59" w:rsidP="00FC51A2">
      <w:pPr>
        <w:spacing w:after="0" w:line="240" w:lineRule="auto"/>
      </w:pPr>
      <w:r>
        <w:separator/>
      </w:r>
    </w:p>
  </w:endnote>
  <w:endnote w:type="continuationSeparator" w:id="0">
    <w:p w:rsidR="00B62C59" w:rsidRDefault="00B62C59" w:rsidP="00FC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2C59" w:rsidRDefault="00B62C59" w:rsidP="00FC51A2">
      <w:pPr>
        <w:spacing w:after="0" w:line="240" w:lineRule="auto"/>
      </w:pPr>
      <w:r>
        <w:separator/>
      </w:r>
    </w:p>
  </w:footnote>
  <w:footnote w:type="continuationSeparator" w:id="0">
    <w:p w:rsidR="00B62C59" w:rsidRDefault="00B62C59" w:rsidP="00FC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A2" w:rsidRDefault="0026546F" w:rsidP="00FC51A2">
    <w:pPr>
      <w:pStyle w:val="Cabealho"/>
      <w:jc w:val="center"/>
    </w:pPr>
    <w:r w:rsidRPr="0026546F">
      <w:rPr>
        <w:noProof/>
        <w:lang w:eastAsia="pt-BR"/>
      </w:rPr>
      <w:drawing>
        <wp:inline distT="0" distB="0" distL="0" distR="0">
          <wp:extent cx="2113238" cy="1858368"/>
          <wp:effectExtent l="19050" t="0" r="1312" b="0"/>
          <wp:docPr id="1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51A2" w:rsidRDefault="00FC51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0746D5"/>
    <w:rsid w:val="00082567"/>
    <w:rsid w:val="0026546F"/>
    <w:rsid w:val="002F6ADC"/>
    <w:rsid w:val="0037076C"/>
    <w:rsid w:val="00644639"/>
    <w:rsid w:val="006A5DC1"/>
    <w:rsid w:val="007515D1"/>
    <w:rsid w:val="007B3FDB"/>
    <w:rsid w:val="007F5F74"/>
    <w:rsid w:val="008574C5"/>
    <w:rsid w:val="008B5A30"/>
    <w:rsid w:val="008C5BB8"/>
    <w:rsid w:val="00913406"/>
    <w:rsid w:val="009824F0"/>
    <w:rsid w:val="00AC2866"/>
    <w:rsid w:val="00B402D5"/>
    <w:rsid w:val="00B62C59"/>
    <w:rsid w:val="00B76B1D"/>
    <w:rsid w:val="00BE2B83"/>
    <w:rsid w:val="00C855E7"/>
    <w:rsid w:val="00CB3149"/>
    <w:rsid w:val="00CD0409"/>
    <w:rsid w:val="00D50E85"/>
    <w:rsid w:val="00D83B30"/>
    <w:rsid w:val="00D96A86"/>
    <w:rsid w:val="00DC1CCB"/>
    <w:rsid w:val="00FC51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1A2"/>
  </w:style>
  <w:style w:type="paragraph" w:styleId="Rodap">
    <w:name w:val="footer"/>
    <w:basedOn w:val="Normal"/>
    <w:link w:val="RodapChar"/>
    <w:uiPriority w:val="99"/>
    <w:semiHidden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51A2"/>
  </w:style>
  <w:style w:type="paragraph" w:styleId="Textodebalo">
    <w:name w:val="Balloon Text"/>
    <w:basedOn w:val="Normal"/>
    <w:link w:val="TextodebaloChar"/>
    <w:uiPriority w:val="99"/>
    <w:semiHidden/>
    <w:unhideWhenUsed/>
    <w:rsid w:val="00FC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1A2"/>
  </w:style>
  <w:style w:type="paragraph" w:styleId="Rodap">
    <w:name w:val="footer"/>
    <w:basedOn w:val="Normal"/>
    <w:link w:val="RodapChar"/>
    <w:uiPriority w:val="99"/>
    <w:semiHidden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51A2"/>
  </w:style>
  <w:style w:type="paragraph" w:styleId="Textodebalo">
    <w:name w:val="Balloon Text"/>
    <w:basedOn w:val="Normal"/>
    <w:link w:val="TextodebaloChar"/>
    <w:uiPriority w:val="99"/>
    <w:semiHidden/>
    <w:unhideWhenUsed/>
    <w:rsid w:val="00FC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A0DF-F9CF-49B4-A8A2-4C6B8DCF5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2024-12-04T12:24:00Z</dcterms:created>
  <dcterms:modified xsi:type="dcterms:W3CDTF">2024-12-04T12:24:00Z</dcterms:modified>
</cp:coreProperties>
</file>